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EF4" w:rsidRDefault="00E27EF4" w:rsidP="00E27EF4">
      <w:pPr>
        <w:suppressLineNumbers/>
        <w:rPr>
          <w:sz w:val="26"/>
          <w:szCs w:val="26"/>
          <w:rtl/>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E27EF4" w:rsidRPr="00CD0055" w:rsidTr="00D66D6A">
        <w:trPr>
          <w:jc w:val="center"/>
        </w:trPr>
        <w:tc>
          <w:tcPr>
            <w:tcW w:w="3249" w:type="dxa"/>
          </w:tcPr>
          <w:sdt>
            <w:sdtPr>
              <w:rPr>
                <w:rFonts w:hint="cs"/>
                <w:b/>
                <w:bCs/>
                <w:sz w:val="26"/>
                <w:szCs w:val="26"/>
                <w:rtl/>
              </w:rPr>
              <w:alias w:val="1180"/>
              <w:tag w:val="1180"/>
              <w:id w:val="-803768281"/>
              <w:text w:multiLine="1"/>
            </w:sdtPr>
            <w:sdtEndPr/>
            <w:sdtContent>
              <w:p w:rsidR="00E27EF4" w:rsidRDefault="00E27EF4" w:rsidP="00D66D6A">
                <w:pPr>
                  <w:rPr>
                    <w:rFonts w:ascii="Arial (W1)" w:hAnsi="Arial (W1)"/>
                    <w:b/>
                    <w:bCs/>
                    <w:noProof w:val="0"/>
                    <w:sz w:val="26"/>
                    <w:szCs w:val="26"/>
                  </w:rPr>
                </w:pPr>
                <w:r w:rsidRPr="00947970">
                  <w:rPr>
                    <w:rFonts w:hint="cs"/>
                    <w:b/>
                    <w:bCs/>
                    <w:noProof w:val="0"/>
                    <w:sz w:val="26"/>
                    <w:szCs w:val="26"/>
                    <w:rtl/>
                  </w:rPr>
                  <w:t>עורר</w:t>
                </w:r>
                <w:r w:rsidRPr="00947970">
                  <w:rPr>
                    <w:rFonts w:hint="cs"/>
                    <w:b/>
                    <w:bCs/>
                    <w:sz w:val="26"/>
                    <w:szCs w:val="26"/>
                    <w:rtl/>
                  </w:rPr>
                  <w:t>ת</w:t>
                </w:r>
              </w:p>
            </w:sdtContent>
          </w:sdt>
        </w:tc>
        <w:tc>
          <w:tcPr>
            <w:tcW w:w="5571" w:type="dxa"/>
          </w:tcPr>
          <w:p w:rsidR="00E27EF4" w:rsidRPr="006836CD" w:rsidRDefault="00AC4200" w:rsidP="00D66D6A">
            <w:pPr>
              <w:rPr>
                <w:b/>
                <w:bCs/>
                <w:sz w:val="26"/>
                <w:szCs w:val="26"/>
                <w:rtl/>
              </w:rPr>
            </w:pPr>
            <w:sdt>
              <w:sdtPr>
                <w:rPr>
                  <w:rFonts w:hint="cs"/>
                  <w:b/>
                  <w:bCs/>
                  <w:sz w:val="26"/>
                  <w:szCs w:val="26"/>
                  <w:rtl/>
                </w:rPr>
                <w:alias w:val="1478"/>
                <w:tag w:val="1478"/>
                <w:id w:val="160126198"/>
                <w:text w:multiLine="1"/>
              </w:sdtPr>
              <w:sdtEndPr/>
              <w:sdtContent>
                <w:r w:rsidR="00E27EF4" w:rsidRPr="006836CD">
                  <w:rPr>
                    <w:rFonts w:hint="cs"/>
                    <w:b/>
                    <w:bCs/>
                    <w:noProof w:val="0"/>
                    <w:sz w:val="26"/>
                    <w:szCs w:val="26"/>
                    <w:rtl/>
                  </w:rPr>
                  <w:t>ימ"ר תל אביב</w:t>
                </w:r>
              </w:sdtContent>
            </w:sdt>
          </w:p>
          <w:p w:rsidR="00E27EF4" w:rsidRPr="006836CD" w:rsidRDefault="00E27EF4" w:rsidP="00D66D6A">
            <w:pPr>
              <w:rPr>
                <w:rFonts w:ascii="Arial (W1)" w:hAnsi="Arial (W1)"/>
                <w:b/>
                <w:bCs/>
                <w:noProof w:val="0"/>
                <w:sz w:val="26"/>
                <w:szCs w:val="26"/>
              </w:rPr>
            </w:pPr>
            <w:r w:rsidRPr="006836CD">
              <w:rPr>
                <w:rFonts w:hint="cs"/>
                <w:b/>
                <w:bCs/>
                <w:sz w:val="26"/>
                <w:szCs w:val="26"/>
                <w:rtl/>
              </w:rPr>
              <w:t>ע"י רפ"ק רוברט ברדהולדס</w:t>
            </w:r>
          </w:p>
        </w:tc>
      </w:tr>
      <w:tr w:rsidR="00E27EF4" w:rsidRPr="00CD0055" w:rsidTr="00D66D6A">
        <w:trPr>
          <w:jc w:val="center"/>
        </w:trPr>
        <w:tc>
          <w:tcPr>
            <w:tcW w:w="8820" w:type="dxa"/>
            <w:gridSpan w:val="2"/>
          </w:tcPr>
          <w:p w:rsidR="00E27EF4" w:rsidRPr="006836CD" w:rsidRDefault="00E27EF4" w:rsidP="00D66D6A">
            <w:pPr>
              <w:rPr>
                <w:rFonts w:ascii="Arial (W1)" w:hAnsi="Arial (W1)"/>
                <w:b/>
                <w:bCs/>
                <w:noProof w:val="0"/>
                <w:sz w:val="26"/>
                <w:szCs w:val="26"/>
                <w:rtl/>
              </w:rPr>
            </w:pPr>
          </w:p>
          <w:p w:rsidR="00E27EF4" w:rsidRPr="006836CD" w:rsidRDefault="00E27EF4" w:rsidP="00D66D6A">
            <w:pPr>
              <w:jc w:val="center"/>
              <w:rPr>
                <w:b/>
                <w:bCs/>
                <w:noProof w:val="0"/>
                <w:sz w:val="26"/>
                <w:szCs w:val="26"/>
                <w:rtl/>
              </w:rPr>
            </w:pPr>
            <w:r w:rsidRPr="006836CD">
              <w:rPr>
                <w:rFonts w:hint="cs"/>
                <w:b/>
                <w:bCs/>
                <w:noProof w:val="0"/>
                <w:sz w:val="26"/>
                <w:szCs w:val="26"/>
                <w:rtl/>
              </w:rPr>
              <w:t>נגד</w:t>
            </w:r>
          </w:p>
          <w:p w:rsidR="00E27EF4" w:rsidRPr="006836CD" w:rsidRDefault="00E27EF4" w:rsidP="00D66D6A">
            <w:pPr>
              <w:rPr>
                <w:rFonts w:ascii="Arial (W1)" w:hAnsi="Arial (W1)"/>
                <w:b/>
                <w:bCs/>
                <w:noProof w:val="0"/>
                <w:sz w:val="26"/>
                <w:szCs w:val="26"/>
              </w:rPr>
            </w:pPr>
          </w:p>
        </w:tc>
      </w:tr>
      <w:tr w:rsidR="00E27EF4" w:rsidRPr="00CD0055" w:rsidTr="00D66D6A">
        <w:trPr>
          <w:jc w:val="center"/>
        </w:trPr>
        <w:tc>
          <w:tcPr>
            <w:tcW w:w="3249" w:type="dxa"/>
          </w:tcPr>
          <w:p w:rsidR="00E27EF4" w:rsidRPr="00CD0055" w:rsidRDefault="00AC4200" w:rsidP="00D66D6A">
            <w:pPr>
              <w:rPr>
                <w:rFonts w:ascii="Arial (W1)" w:hAnsi="Arial (W1)"/>
                <w:b/>
                <w:bCs/>
                <w:noProof w:val="0"/>
                <w:sz w:val="26"/>
                <w:szCs w:val="26"/>
              </w:rPr>
            </w:pPr>
            <w:sdt>
              <w:sdtPr>
                <w:rPr>
                  <w:rFonts w:hint="cs"/>
                  <w:sz w:val="26"/>
                  <w:szCs w:val="26"/>
                  <w:rtl/>
                </w:rPr>
                <w:alias w:val="1184"/>
                <w:tag w:val="1184"/>
                <w:id w:val="-910234160"/>
                <w:text w:multiLine="1"/>
              </w:sdtPr>
              <w:sdtEndPr/>
              <w:sdtContent>
                <w:r w:rsidR="00E27EF4">
                  <w:rPr>
                    <w:rFonts w:hint="cs"/>
                    <w:b/>
                    <w:bCs/>
                    <w:noProof w:val="0"/>
                    <w:sz w:val="26"/>
                    <w:szCs w:val="26"/>
                    <w:rtl/>
                  </w:rPr>
                  <w:t>משיבים</w:t>
                </w:r>
              </w:sdtContent>
            </w:sdt>
          </w:p>
        </w:tc>
        <w:tc>
          <w:tcPr>
            <w:tcW w:w="5571" w:type="dxa"/>
          </w:tcPr>
          <w:p w:rsidR="00E27EF4" w:rsidRPr="006836CD" w:rsidRDefault="00AC4200" w:rsidP="00D66D6A">
            <w:pPr>
              <w:rPr>
                <w:b/>
                <w:bCs/>
                <w:sz w:val="26"/>
                <w:szCs w:val="26"/>
                <w:rtl/>
              </w:rPr>
            </w:pPr>
            <w:sdt>
              <w:sdtPr>
                <w:rPr>
                  <w:rFonts w:hint="cs"/>
                  <w:b/>
                  <w:bCs/>
                  <w:sz w:val="26"/>
                  <w:szCs w:val="26"/>
                  <w:rtl/>
                </w:rPr>
                <w:alias w:val="1571"/>
                <w:tag w:val="1571"/>
                <w:id w:val="-1361515445"/>
                <w:text w:multiLine="1"/>
              </w:sdtPr>
              <w:sdtEndPr/>
              <w:sdtContent>
                <w:r w:rsidR="00E27EF4" w:rsidRPr="006836CD">
                  <w:rPr>
                    <w:rFonts w:hint="cs"/>
                    <w:b/>
                    <w:bCs/>
                    <w:noProof w:val="0"/>
                    <w:sz w:val="26"/>
                    <w:szCs w:val="26"/>
                    <w:rtl/>
                  </w:rPr>
                  <w:t>1</w:t>
                </w:r>
              </w:sdtContent>
            </w:sdt>
            <w:r w:rsidR="00E27EF4" w:rsidRPr="006836CD">
              <w:rPr>
                <w:rFonts w:hint="cs"/>
                <w:b/>
                <w:bCs/>
                <w:noProof w:val="0"/>
                <w:sz w:val="26"/>
                <w:szCs w:val="26"/>
                <w:rtl/>
              </w:rPr>
              <w:t>.</w:t>
            </w:r>
            <w:sdt>
              <w:sdtPr>
                <w:rPr>
                  <w:rFonts w:hint="cs"/>
                  <w:b/>
                  <w:bCs/>
                  <w:sz w:val="26"/>
                  <w:szCs w:val="26"/>
                  <w:rtl/>
                </w:rPr>
                <w:alias w:val="1486"/>
                <w:tag w:val="1486"/>
                <w:id w:val="1487590763"/>
                <w:text w:multiLine="1"/>
              </w:sdtPr>
              <w:sdtEndPr/>
              <w:sdtContent>
                <w:r w:rsidR="00E27EF4">
                  <w:rPr>
                    <w:rFonts w:hint="cs"/>
                    <w:b/>
                    <w:bCs/>
                    <w:noProof w:val="0"/>
                    <w:sz w:val="26"/>
                    <w:szCs w:val="26"/>
                    <w:rtl/>
                  </w:rPr>
                  <w:t xml:space="preserve">פלוני </w:t>
                </w:r>
              </w:sdtContent>
            </w:sdt>
          </w:p>
          <w:p w:rsidR="00E27EF4" w:rsidRDefault="00E27EF4" w:rsidP="00D66D6A">
            <w:pPr>
              <w:rPr>
                <w:rFonts w:ascii="Arial (W1)" w:hAnsi="Arial (W1)"/>
                <w:b/>
                <w:bCs/>
                <w:noProof w:val="0"/>
                <w:sz w:val="26"/>
                <w:szCs w:val="26"/>
                <w:rtl/>
              </w:rPr>
            </w:pPr>
            <w:r w:rsidRPr="006836CD">
              <w:rPr>
                <w:rFonts w:hint="cs"/>
                <w:b/>
                <w:bCs/>
                <w:sz w:val="26"/>
                <w:szCs w:val="26"/>
                <w:rtl/>
              </w:rPr>
              <w:t>ע"י ב"כ עו"ד</w:t>
            </w:r>
            <w:r w:rsidRPr="006836CD">
              <w:rPr>
                <w:rFonts w:ascii="Arial (W1)" w:hAnsi="Arial (W1)" w:hint="cs"/>
                <w:b/>
                <w:bCs/>
                <w:noProof w:val="0"/>
                <w:sz w:val="26"/>
                <w:szCs w:val="26"/>
                <w:rtl/>
              </w:rPr>
              <w:t xml:space="preserve"> חיים שרייבהנד</w:t>
            </w:r>
          </w:p>
          <w:p w:rsidR="00E27EF4" w:rsidRPr="006836CD" w:rsidRDefault="00E27EF4" w:rsidP="00D66D6A">
            <w:pPr>
              <w:rPr>
                <w:rFonts w:ascii="Arial (W1)" w:hAnsi="Arial (W1)"/>
                <w:b/>
                <w:bCs/>
                <w:noProof w:val="0"/>
                <w:sz w:val="26"/>
                <w:szCs w:val="26"/>
              </w:rPr>
            </w:pPr>
          </w:p>
          <w:p w:rsidR="00E27EF4" w:rsidRPr="006836CD" w:rsidRDefault="00AC4200" w:rsidP="00D66D6A">
            <w:pPr>
              <w:rPr>
                <w:b/>
                <w:bCs/>
                <w:sz w:val="26"/>
                <w:szCs w:val="26"/>
                <w:rtl/>
              </w:rPr>
            </w:pPr>
            <w:sdt>
              <w:sdtPr>
                <w:rPr>
                  <w:rFonts w:hint="cs"/>
                  <w:b/>
                  <w:bCs/>
                  <w:sz w:val="26"/>
                  <w:szCs w:val="26"/>
                  <w:rtl/>
                </w:rPr>
                <w:alias w:val="1571"/>
                <w:tag w:val="1571"/>
                <w:id w:val="-568500358"/>
                <w:text w:multiLine="1"/>
              </w:sdtPr>
              <w:sdtEndPr/>
              <w:sdtContent>
                <w:r w:rsidR="00E27EF4" w:rsidRPr="006836CD">
                  <w:rPr>
                    <w:rFonts w:hint="cs"/>
                    <w:b/>
                    <w:bCs/>
                    <w:noProof w:val="0"/>
                    <w:sz w:val="26"/>
                    <w:szCs w:val="26"/>
                    <w:rtl/>
                  </w:rPr>
                  <w:t>2</w:t>
                </w:r>
              </w:sdtContent>
            </w:sdt>
            <w:r w:rsidR="00E27EF4" w:rsidRPr="006836CD">
              <w:rPr>
                <w:rFonts w:hint="cs"/>
                <w:b/>
                <w:bCs/>
                <w:noProof w:val="0"/>
                <w:sz w:val="26"/>
                <w:szCs w:val="26"/>
                <w:rtl/>
              </w:rPr>
              <w:t>.</w:t>
            </w:r>
            <w:sdt>
              <w:sdtPr>
                <w:rPr>
                  <w:rFonts w:hint="cs"/>
                  <w:b/>
                  <w:bCs/>
                  <w:sz w:val="26"/>
                  <w:szCs w:val="26"/>
                  <w:rtl/>
                </w:rPr>
                <w:alias w:val="1486"/>
                <w:tag w:val="1486"/>
                <w:id w:val="-1838990810"/>
                <w:text w:multiLine="1"/>
              </w:sdtPr>
              <w:sdtEndPr/>
              <w:sdtContent>
                <w:r w:rsidR="00E27EF4">
                  <w:rPr>
                    <w:rFonts w:hint="cs"/>
                    <w:b/>
                    <w:bCs/>
                    <w:noProof w:val="0"/>
                    <w:sz w:val="26"/>
                    <w:szCs w:val="26"/>
                    <w:rtl/>
                  </w:rPr>
                  <w:t xml:space="preserve"> אלמוני</w:t>
                </w:r>
              </w:sdtContent>
            </w:sdt>
          </w:p>
          <w:p w:rsidR="00E27EF4" w:rsidRPr="006836CD" w:rsidRDefault="00E27EF4" w:rsidP="00D66D6A">
            <w:pPr>
              <w:rPr>
                <w:rFonts w:ascii="Arial (W1)" w:hAnsi="Arial (W1)"/>
                <w:b/>
                <w:bCs/>
                <w:noProof w:val="0"/>
                <w:sz w:val="26"/>
                <w:szCs w:val="26"/>
              </w:rPr>
            </w:pPr>
            <w:r w:rsidRPr="006836CD">
              <w:rPr>
                <w:rFonts w:hint="cs"/>
                <w:b/>
                <w:bCs/>
                <w:sz w:val="26"/>
                <w:szCs w:val="26"/>
                <w:rtl/>
              </w:rPr>
              <w:t xml:space="preserve">ע"י ב"כ עו"ד פריד יהודה </w:t>
            </w:r>
          </w:p>
        </w:tc>
      </w:tr>
    </w:tbl>
    <w:p w:rsidR="00E27EF4" w:rsidRDefault="00E27EF4" w:rsidP="00E27EF4">
      <w:pPr>
        <w:suppressLineNumbers/>
        <w:rPr>
          <w:rFonts w:ascii="Arial (W1)" w:hAnsi="Arial (W1)"/>
          <w:sz w:val="28"/>
          <w:szCs w:val="28"/>
          <w:rtl/>
        </w:rPr>
      </w:pPr>
    </w:p>
    <w:p w:rsidR="00E27EF4" w:rsidRDefault="00E27EF4" w:rsidP="00E27EF4">
      <w:pPr>
        <w:suppressLineNumbers/>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E27EF4" w:rsidTr="00D66D6A">
        <w:trPr>
          <w:jc w:val="center"/>
        </w:trPr>
        <w:tc>
          <w:tcPr>
            <w:tcW w:w="8820" w:type="dxa"/>
          </w:tcPr>
          <w:p w:rsidR="00E27EF4" w:rsidRPr="009B56D9" w:rsidRDefault="00E27EF4" w:rsidP="00D66D6A">
            <w:pPr>
              <w:bidi w:val="0"/>
              <w:jc w:val="center"/>
              <w:rPr>
                <w:rFonts w:ascii="Arial" w:hAnsi="Arial"/>
                <w:b/>
                <w:bCs/>
                <w:noProof w:val="0"/>
                <w:sz w:val="36"/>
                <w:szCs w:val="36"/>
                <w:u w:val="single"/>
              </w:rPr>
            </w:pPr>
            <w:r>
              <w:rPr>
                <w:rFonts w:ascii="Arial" w:hAnsi="Arial" w:hint="cs"/>
                <w:b/>
                <w:bCs/>
                <w:noProof w:val="0"/>
                <w:sz w:val="36"/>
                <w:szCs w:val="36"/>
                <w:u w:val="single"/>
                <w:rtl/>
              </w:rPr>
              <w:t>החלטה</w:t>
            </w:r>
          </w:p>
        </w:tc>
      </w:tr>
    </w:tbl>
    <w:p w:rsidR="00E27EF4" w:rsidRDefault="00E27EF4" w:rsidP="00E27EF4">
      <w:pPr>
        <w:spacing w:line="360" w:lineRule="auto"/>
        <w:jc w:val="both"/>
        <w:rPr>
          <w:rFonts w:ascii="Arial" w:hAnsi="Arial"/>
          <w:noProof w:val="0"/>
          <w:rtl/>
        </w:rPr>
      </w:pPr>
    </w:p>
    <w:p w:rsidR="00E27EF4" w:rsidRDefault="00E27EF4" w:rsidP="00E27EF4">
      <w:pPr>
        <w:spacing w:line="360" w:lineRule="auto"/>
        <w:jc w:val="center"/>
        <w:rPr>
          <w:rFonts w:ascii="David" w:hAnsi="David"/>
          <w:b/>
          <w:bCs/>
          <w:noProof w:val="0"/>
          <w:u w:val="single"/>
        </w:rPr>
      </w:pPr>
    </w:p>
    <w:p w:rsidR="00E27EF4" w:rsidRDefault="00E27EF4" w:rsidP="00E27EF4">
      <w:pPr>
        <w:spacing w:line="360" w:lineRule="auto"/>
        <w:jc w:val="both"/>
        <w:rPr>
          <w:rFonts w:ascii="David" w:hAnsi="David"/>
          <w:b/>
          <w:bCs/>
          <w:u w:val="single"/>
          <w:rtl/>
        </w:rPr>
      </w:pPr>
      <w:r>
        <w:rPr>
          <w:rFonts w:ascii="David" w:hAnsi="David"/>
          <w:b/>
          <w:bCs/>
          <w:u w:val="single"/>
          <w:rtl/>
        </w:rPr>
        <w:t>כללי</w:t>
      </w:r>
    </w:p>
    <w:p w:rsidR="00E27EF4" w:rsidRDefault="00E27EF4" w:rsidP="00E27EF4">
      <w:pPr>
        <w:spacing w:line="360" w:lineRule="auto"/>
        <w:jc w:val="both"/>
        <w:rPr>
          <w:rFonts w:ascii="David" w:hAnsi="David"/>
          <w:rtl/>
        </w:rPr>
      </w:pPr>
      <w:r>
        <w:rPr>
          <w:rFonts w:ascii="David" w:hAnsi="David"/>
          <w:rtl/>
        </w:rPr>
        <w:t xml:space="preserve">המשיבים, יחד עם אחר, הובאו לפני בית משפט קמא להארכת מעצרם ב-10 ימים בחשד לביצוע עבירות של רצח מתוך מניע של גזענות, קשירת קשר לפשע, שיבוש מהלכי משפט, רכישה, נשיאה או הובלת חלק מהותי בנשק. יצוין כי החשדות כולם יוחסו למשיבים כולם. בתמצית, ולשם הבהירות, יפורט כבר עתה כי החשד הנטען </w:t>
      </w:r>
      <w:r>
        <w:rPr>
          <w:rFonts w:ascii="David" w:hAnsi="David" w:hint="cs"/>
          <w:rtl/>
        </w:rPr>
        <w:t xml:space="preserve">לרצח </w:t>
      </w:r>
      <w:r>
        <w:rPr>
          <w:rFonts w:ascii="David" w:hAnsi="David"/>
          <w:rtl/>
        </w:rPr>
        <w:t xml:space="preserve">נוגע לחשד לרציחתו של מחבל נוחבה, אירוע מיום 7.10.2023, אז פתחו כוחות ארגון הטרור "חמאס" בטבח כנגד מדינת ישראל וטבחו, פצעו וחטפו רבים מאזרחי המדינה עת אזרחים וארגוני הצלה פרטיים נזעקו, מבלי שנקראו, לסייע. </w:t>
      </w:r>
    </w:p>
    <w:p w:rsidR="00E27EF4" w:rsidRDefault="00E27EF4" w:rsidP="00E27EF4">
      <w:pPr>
        <w:spacing w:line="360" w:lineRule="auto"/>
        <w:jc w:val="both"/>
        <w:rPr>
          <w:rFonts w:ascii="David" w:hAnsi="David"/>
          <w:rtl/>
        </w:rPr>
      </w:pPr>
    </w:p>
    <w:p w:rsidR="00E27EF4" w:rsidRDefault="00E27EF4" w:rsidP="00E27EF4">
      <w:pPr>
        <w:spacing w:line="360" w:lineRule="auto"/>
        <w:rPr>
          <w:rFonts w:ascii="David" w:hAnsi="David"/>
          <w:b/>
          <w:bCs/>
          <w:u w:val="single"/>
          <w:rtl/>
        </w:rPr>
      </w:pPr>
      <w:r>
        <w:rPr>
          <w:rFonts w:ascii="David" w:hAnsi="David"/>
          <w:b/>
          <w:bCs/>
          <w:u w:val="single"/>
          <w:rtl/>
        </w:rPr>
        <w:t>בעניינו של משיב 1</w:t>
      </w:r>
    </w:p>
    <w:p w:rsidR="00E27EF4" w:rsidRDefault="00E27EF4" w:rsidP="00E27EF4">
      <w:pPr>
        <w:spacing w:line="360" w:lineRule="auto"/>
        <w:jc w:val="both"/>
        <w:rPr>
          <w:rFonts w:ascii="David" w:hAnsi="David"/>
          <w:rtl/>
        </w:rPr>
      </w:pPr>
      <w:r>
        <w:rPr>
          <w:rFonts w:ascii="David" w:hAnsi="David"/>
          <w:rtl/>
        </w:rPr>
        <w:t xml:space="preserve">הגם שכאמור על פי בקשת המעצר, נחשד המשיב 1 ברצח ממניע גזעני במעמד הדיון בפני בית משפט קמא הובהר על ידי נציג העוררת שלגביו אין חשד שכזה (עמוד 3 שורה 15 לפרוטוקול הדיון בבית משפט קמא) והחשדות נגדו מתמצים בעבירת נשק אשר התגלה במסגרת חיפוש שבוצע בביתו זה מקרוב, שאינה נוגעת לאירועי ה-7.10.2023. </w:t>
      </w:r>
    </w:p>
    <w:p w:rsidR="00E27EF4" w:rsidRDefault="00E27EF4" w:rsidP="00E27EF4">
      <w:pPr>
        <w:spacing w:line="360" w:lineRule="auto"/>
        <w:jc w:val="both"/>
        <w:rPr>
          <w:rFonts w:ascii="David" w:hAnsi="David"/>
          <w:rtl/>
        </w:rPr>
      </w:pPr>
      <w:r>
        <w:rPr>
          <w:rFonts w:ascii="David" w:hAnsi="David"/>
          <w:rtl/>
        </w:rPr>
        <w:t>כפי שציין בית משפט קמא במילותיו כי "</w:t>
      </w:r>
      <w:r>
        <w:rPr>
          <w:rFonts w:ascii="David" w:hAnsi="David"/>
          <w:b/>
          <w:bCs/>
          <w:rtl/>
        </w:rPr>
        <w:t>אין חולק... שאין קשר בין החשוד לבין אחרים בכל הנוגע לעבירות החמורות של רצח... התמונה המצטיירת היא שמדובר בחקירה פשוטה יחסית, בעניין ממוקד... המתמצה בעיקר בהחזקת נשק</w:t>
      </w:r>
      <w:r>
        <w:rPr>
          <w:rFonts w:ascii="David" w:hAnsi="David"/>
          <w:rtl/>
        </w:rPr>
        <w:t>...". (עמוד 8 שורות 17-19 לפרוטוקול החלטת בית משפט קמא).</w:t>
      </w:r>
    </w:p>
    <w:p w:rsidR="00E27EF4" w:rsidRDefault="00E27EF4" w:rsidP="00E27EF4">
      <w:pPr>
        <w:spacing w:line="360" w:lineRule="auto"/>
        <w:jc w:val="both"/>
        <w:rPr>
          <w:rFonts w:ascii="David" w:hAnsi="David"/>
          <w:rtl/>
        </w:rPr>
      </w:pPr>
      <w:r>
        <w:rPr>
          <w:rFonts w:ascii="David" w:hAnsi="David"/>
          <w:rtl/>
        </w:rPr>
        <w:t xml:space="preserve">לאחר דיון שהתקיים סבר בית משפט קמא כי בשים לב לכלל הנתונים, ועל אף שקם חשד סביר ביחס לעבירת הנשק ניתן לאיין את מסוכנות המשיב באמצעות חלופת מעצר. עוד מצא בית משפט קמא כי בנסיבות הכוללות לא קמה עילה של חשש לשיבוש החקירה מצד המשיב בהקשר זה. </w:t>
      </w:r>
    </w:p>
    <w:p w:rsidR="00E27EF4" w:rsidRDefault="00E27EF4" w:rsidP="00E27EF4">
      <w:pPr>
        <w:spacing w:line="360" w:lineRule="auto"/>
        <w:jc w:val="both"/>
        <w:rPr>
          <w:rFonts w:ascii="David" w:hAnsi="David"/>
          <w:rtl/>
        </w:rPr>
      </w:pPr>
      <w:r>
        <w:rPr>
          <w:rFonts w:ascii="David" w:hAnsi="David"/>
          <w:rtl/>
        </w:rPr>
        <w:lastRenderedPageBreak/>
        <w:t xml:space="preserve">בדיון שהתקיים לפניי נטען על ידי העוררת שעדיין יש לבחון קשר כזה או אחר של המשיב לחשד בעבירת הרצח - אך לאחר שמיעת טיעוני הצדדים ועיון בחומר שהוצג בפניי במעמד הדיון, לעת הזו, לא מצאתי שמתגבש חשד סביר כנגד המשיב בהקשר זה המצדיק את הארכת מעצרו.  </w:t>
      </w:r>
    </w:p>
    <w:p w:rsidR="00E27EF4" w:rsidRDefault="00E27EF4" w:rsidP="00E27EF4">
      <w:pPr>
        <w:spacing w:line="360" w:lineRule="auto"/>
        <w:jc w:val="both"/>
        <w:rPr>
          <w:rFonts w:ascii="David" w:hAnsi="David"/>
          <w:rtl/>
        </w:rPr>
      </w:pPr>
      <w:r>
        <w:rPr>
          <w:rFonts w:ascii="David" w:hAnsi="David"/>
          <w:rtl/>
        </w:rPr>
        <w:t xml:space="preserve">בעת הדיון שב וטען בא כוח העוררת כי די בעבירת הנשק והמסוכנות העולה ממנה כדי לחייב את הארכת מעצרו של המשיב, לשאלתי אף הפנה לפעולה מספר 10 לדו"ח החסוי מיום 3.7.2024 ככזו המקימה חשש לשיבוש. </w:t>
      </w:r>
    </w:p>
    <w:p w:rsidR="00E27EF4" w:rsidRDefault="00E27EF4" w:rsidP="00E27EF4">
      <w:pPr>
        <w:spacing w:line="360" w:lineRule="auto"/>
        <w:jc w:val="both"/>
        <w:rPr>
          <w:rFonts w:ascii="David" w:hAnsi="David"/>
          <w:rtl/>
        </w:rPr>
      </w:pPr>
      <w:r>
        <w:rPr>
          <w:rFonts w:ascii="David" w:hAnsi="David"/>
          <w:rtl/>
        </w:rPr>
        <w:t xml:space="preserve">נתתי דעתי לכלל הנטען ועיינתי בחומר שהועמד לעיוני. לאחר כל זאת מצאתי כי הגם שעילת המסוכנות היא אינהרנטית לעבירת הנשק בה חשוד המשיב, בנסיבות, אין מקום להתערב בקביעתו העקרונית של בית משפט קמא לפיה ניתן לאיין את העילה במקרה מיוחד זה בתנאי שחרור הולמים. לכך מצטרפת העובדה שחרף טענות העוררת לא מצאתי כי קם חשש לשיבוש החקירה מצד המשיב, וודאי לא באופן המצדיק את הארכת מעצרו. </w:t>
      </w:r>
    </w:p>
    <w:p w:rsidR="00E27EF4" w:rsidRDefault="00E27EF4" w:rsidP="00E27EF4">
      <w:pPr>
        <w:spacing w:line="360" w:lineRule="auto"/>
        <w:jc w:val="both"/>
        <w:rPr>
          <w:rFonts w:ascii="David" w:hAnsi="David"/>
          <w:rtl/>
        </w:rPr>
      </w:pPr>
      <w:r>
        <w:rPr>
          <w:rFonts w:ascii="David" w:hAnsi="David"/>
          <w:rtl/>
        </w:rPr>
        <w:t xml:space="preserve">בנסיבות הכוללות אם כן החלטת השחרור בעניינו של המשיב בעינה עומדת תוך עיבוי הערבויות במידת מה כדלקמן: ההתחייבות העצמית תועמד על סך של </w:t>
      </w:r>
      <w:r>
        <w:rPr>
          <w:rFonts w:ascii="David" w:hAnsi="David" w:hint="cs"/>
          <w:rtl/>
        </w:rPr>
        <w:t>20</w:t>
      </w:r>
      <w:r>
        <w:rPr>
          <w:rFonts w:ascii="David" w:hAnsi="David"/>
          <w:rtl/>
        </w:rPr>
        <w:t>,000 ₪, ערבות צד שלישי תועמד גם היא על הסכום האמור (</w:t>
      </w:r>
      <w:r>
        <w:rPr>
          <w:rFonts w:ascii="David" w:hAnsi="David" w:hint="cs"/>
          <w:rtl/>
        </w:rPr>
        <w:t>20,</w:t>
      </w:r>
      <w:r>
        <w:rPr>
          <w:rFonts w:ascii="David" w:hAnsi="David"/>
          <w:rtl/>
        </w:rPr>
        <w:t xml:space="preserve">000 ₪) ויהיה על המשיב להפקיד במזומן את הסך של 5,000 ₪. </w:t>
      </w:r>
    </w:p>
    <w:p w:rsidR="00E27EF4" w:rsidRDefault="00E27EF4" w:rsidP="00E27EF4">
      <w:pPr>
        <w:spacing w:line="360" w:lineRule="auto"/>
        <w:jc w:val="both"/>
        <w:rPr>
          <w:rFonts w:ascii="David" w:hAnsi="David"/>
          <w:rtl/>
        </w:rPr>
      </w:pPr>
      <w:r>
        <w:rPr>
          <w:rFonts w:ascii="David" w:hAnsi="David"/>
          <w:rtl/>
        </w:rPr>
        <w:t>למעט עיבוי הערבויות כאמור – הערר נדחה.</w:t>
      </w:r>
    </w:p>
    <w:p w:rsidR="00E27EF4" w:rsidRDefault="00E27EF4" w:rsidP="00E27EF4">
      <w:pPr>
        <w:spacing w:line="360" w:lineRule="auto"/>
        <w:rPr>
          <w:rFonts w:ascii="David" w:hAnsi="David"/>
          <w:b/>
          <w:bCs/>
          <w:u w:val="single"/>
          <w:rtl/>
        </w:rPr>
      </w:pPr>
      <w:r>
        <w:rPr>
          <w:rFonts w:ascii="David" w:hAnsi="David"/>
          <w:b/>
          <w:bCs/>
          <w:u w:val="single"/>
          <w:rtl/>
        </w:rPr>
        <w:t>בעניינו של המשיב 2</w:t>
      </w:r>
    </w:p>
    <w:p w:rsidR="00E27EF4" w:rsidRDefault="00E27EF4" w:rsidP="00E27EF4">
      <w:pPr>
        <w:spacing w:line="360" w:lineRule="auto"/>
        <w:jc w:val="both"/>
        <w:rPr>
          <w:rFonts w:ascii="David" w:hAnsi="David"/>
          <w:rtl/>
        </w:rPr>
      </w:pPr>
      <w:r>
        <w:rPr>
          <w:rFonts w:ascii="David" w:hAnsi="David"/>
          <w:rtl/>
        </w:rPr>
        <w:t xml:space="preserve">כאמור, המשיב 2 הובא לפני בית משפט קמא להארכת מעצרו ב-10 ימים. נטען כי ביום 7.10.23, במהלך מתקפת הטרור האכזרית והנרחבת שבוצעה כנגד מדינת ישראל, קשר קשר ורצח יחד עם אחר מחבל נוחבה מתוך מניע של גזענות או עוינות. </w:t>
      </w:r>
    </w:p>
    <w:p w:rsidR="00E27EF4" w:rsidRDefault="00E27EF4" w:rsidP="00E27EF4">
      <w:pPr>
        <w:spacing w:line="360" w:lineRule="auto"/>
        <w:jc w:val="both"/>
        <w:rPr>
          <w:rFonts w:ascii="David" w:hAnsi="David"/>
          <w:rtl/>
        </w:rPr>
      </w:pPr>
      <w:r>
        <w:rPr>
          <w:rFonts w:ascii="David" w:hAnsi="David"/>
          <w:rtl/>
        </w:rPr>
        <w:t xml:space="preserve">בבית משפט קמא ציין נציג היחידה החוקרת כי גרסתו של המשיב 2 מתיישבת עם חומרי החקירה שבתיק והוא משתף פעולה עמם וכי לא נטען שהמשיב ביצע ירי במחבל. במהלך הדיון צפה בית משפט קמא בסרטון אשר עם גילויו החלה חקירה סמויה כנגד המשיבים. </w:t>
      </w:r>
    </w:p>
    <w:p w:rsidR="00E27EF4" w:rsidRDefault="00E27EF4" w:rsidP="00E27EF4">
      <w:pPr>
        <w:spacing w:line="360" w:lineRule="auto"/>
        <w:jc w:val="both"/>
        <w:rPr>
          <w:rFonts w:ascii="David" w:hAnsi="David"/>
          <w:rtl/>
        </w:rPr>
      </w:pPr>
      <w:r>
        <w:rPr>
          <w:rFonts w:ascii="David" w:hAnsi="David"/>
          <w:rtl/>
        </w:rPr>
        <w:t xml:space="preserve">בהחלטתו ציין בית משפט קמא כי המשיב 2 הוא מתנדב בארגון איחוד הצלה אשר התעורר בבוקר יום 7.10.2023 לקולות אזעקות ויצא באופן יזום לאזורי הנפילה על מנת לספק עזרה לנפגעים, וכאשר עלו נתונים בדבר המתקפה, המשיך יחד עם אחרים על מנת לספק עזרה וסיוע לפצועים. בית משפט קמא ציין כי בהמשך נסע המשיב 2 לנסוע דרומה לסייע בלחימה הקשה באזור עוטף עזה מול אלפי המחבלים שפרצו את גבולות המדינה ולגרסתו פינה לוחמים פצועים, חבר לרכבי כוחות הביטחון וחילץ מספר רב של אנשים. המשיב 2 התבקש על ידי שוטרים לסייע בהובלת מחבל נוחבה ובהמשך לכך לקח את המחבל והעבירו לאזור כפי שהתבקש. לאחר </w:t>
      </w:r>
      <w:r>
        <w:rPr>
          <w:rFonts w:ascii="David" w:hAnsi="David" w:hint="cs"/>
          <w:rtl/>
        </w:rPr>
        <w:t>טען שש</w:t>
      </w:r>
      <w:r>
        <w:rPr>
          <w:rFonts w:ascii="David" w:hAnsi="David"/>
          <w:rtl/>
        </w:rPr>
        <w:t xml:space="preserve">ב וסייע בשטח. </w:t>
      </w:r>
    </w:p>
    <w:p w:rsidR="00E27EF4" w:rsidRDefault="00E27EF4" w:rsidP="00E27EF4">
      <w:pPr>
        <w:spacing w:line="360" w:lineRule="auto"/>
        <w:jc w:val="both"/>
        <w:rPr>
          <w:rFonts w:ascii="David" w:hAnsi="David"/>
          <w:rtl/>
        </w:rPr>
      </w:pPr>
      <w:r>
        <w:rPr>
          <w:rFonts w:ascii="David" w:hAnsi="David"/>
          <w:rtl/>
        </w:rPr>
        <w:t>בסופו של יום, מצא בית משפט קמא כי "</w:t>
      </w:r>
      <w:r>
        <w:rPr>
          <w:rFonts w:ascii="David" w:hAnsi="David"/>
          <w:b/>
          <w:bCs/>
          <w:rtl/>
        </w:rPr>
        <w:t>ישנו ספק משמעותי האם ניתן למצוא בנסיבות כפי שהן חשד סביר לביצוע עבירה של רצח"</w:t>
      </w:r>
      <w:r>
        <w:rPr>
          <w:rFonts w:ascii="David" w:hAnsi="David"/>
          <w:rtl/>
        </w:rPr>
        <w:t xml:space="preserve"> (עמוד 16 שורה 4-5 להחלטת בית משפט קמא) ובמכלול הנסיבות קבע כי אין צורך חקירתי משמעותי המחייב את מעצרו של החשוד. </w:t>
      </w:r>
    </w:p>
    <w:p w:rsidR="00E27EF4" w:rsidRDefault="00E27EF4" w:rsidP="00E27EF4">
      <w:pPr>
        <w:spacing w:line="360" w:lineRule="auto"/>
        <w:jc w:val="both"/>
        <w:rPr>
          <w:rFonts w:ascii="David" w:hAnsi="David"/>
          <w:rtl/>
        </w:rPr>
      </w:pPr>
      <w:r>
        <w:rPr>
          <w:rFonts w:ascii="David" w:hAnsi="David"/>
          <w:rtl/>
        </w:rPr>
        <w:t xml:space="preserve">לא נפלה כל שגגה בהחלטת בית משפט קמא. לאחר שמיעת טיעוני הצדדים, עיון בחומרים שהוצגו לפניי לרבות ע/1 וצפייה בסרטון, מסקנתי היא כי בדין קבע בית משפט קמא קיומו של ספק </w:t>
      </w:r>
      <w:r>
        <w:rPr>
          <w:rFonts w:ascii="David" w:hAnsi="David"/>
          <w:rtl/>
        </w:rPr>
        <w:lastRenderedPageBreak/>
        <w:t xml:space="preserve">משמעותי האם קם חשד סביר לביצוע עבירה של רצח, לא כל שכן חשד שיש בו כדי להקים עילת מעצר מסוג מסוכנות המחייבת את המשך מעצרו של המשיב. גם ברשימת פעולות החקירה או בחשש לשיבוש החקירה אין כדי להצדיק התערבות בהחלטת בית משפט קמא, בהינתן סוג הפעולות, חומר החקירה שנאסף עד עתה והקושי הנוגע לחשד הסביר בעבירת רצח כאמור. </w:t>
      </w:r>
    </w:p>
    <w:p w:rsidR="00E27EF4" w:rsidRDefault="00E27EF4" w:rsidP="00E27EF4">
      <w:pPr>
        <w:spacing w:line="360" w:lineRule="auto"/>
        <w:jc w:val="both"/>
        <w:rPr>
          <w:rFonts w:ascii="David" w:hAnsi="David"/>
          <w:rtl/>
        </w:rPr>
      </w:pPr>
      <w:r>
        <w:rPr>
          <w:rFonts w:ascii="David" w:hAnsi="David"/>
          <w:rtl/>
        </w:rPr>
        <w:t xml:space="preserve">אשר על כן, הערר בעניינו של המשיב 2 נדחה. </w:t>
      </w:r>
    </w:p>
    <w:p w:rsidR="00E27EF4" w:rsidRDefault="00E27EF4" w:rsidP="00E27EF4">
      <w:pPr>
        <w:spacing w:line="360" w:lineRule="auto"/>
        <w:jc w:val="both"/>
        <w:rPr>
          <w:rFonts w:ascii="David" w:hAnsi="David"/>
          <w:rtl/>
        </w:rPr>
      </w:pPr>
      <w:r>
        <w:rPr>
          <w:rFonts w:ascii="David" w:hAnsi="David"/>
          <w:rtl/>
        </w:rPr>
        <w:t xml:space="preserve">הערה לסיום: לא ניתן לסיים החלטה זו בלא לציין כי התרשמותי היא שהערר הוגש באופן לקוי וחסר. הערר לא נחתם כלל ועיקר על ידי עורכו ובערר מעלה העוררת טענות כנגד המשיב 1 הגם שהנציג מטעמה כלל לא ייחס חשד כנגדו בגין עבירת הרצח עובר למתן ההחלטה בעניינו, ובכך טעם לפגם של ממש.  </w:t>
      </w:r>
    </w:p>
    <w:p w:rsidR="00E27EF4" w:rsidRDefault="00E27EF4" w:rsidP="00E27EF4">
      <w:pPr>
        <w:spacing w:line="360" w:lineRule="auto"/>
        <w:jc w:val="both"/>
        <w:rPr>
          <w:rFonts w:ascii="Arial" w:hAnsi="Arial"/>
          <w:noProof w:val="0"/>
          <w:rtl/>
        </w:rPr>
      </w:pPr>
    </w:p>
    <w:p w:rsidR="00E27EF4" w:rsidRDefault="00E27EF4" w:rsidP="00E27EF4">
      <w:pPr>
        <w:spacing w:line="360" w:lineRule="auto"/>
        <w:jc w:val="both"/>
        <w:rPr>
          <w:rFonts w:ascii="Arial" w:hAnsi="Arial"/>
          <w:noProof w:val="0"/>
          <w:rtl/>
        </w:rPr>
      </w:pPr>
    </w:p>
    <w:p w:rsidR="00E27EF4" w:rsidRDefault="00E27EF4" w:rsidP="00E27EF4">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כ"ח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04 יולי 2024</w:t>
          </w:r>
        </w:sdtContent>
      </w:sdt>
      <w:r>
        <w:rPr>
          <w:rFonts w:ascii="Arial" w:hAnsi="Arial"/>
          <w:noProof w:val="0"/>
          <w:rtl/>
        </w:rPr>
        <w:t>, ב</w:t>
      </w:r>
      <w:r>
        <w:rPr>
          <w:rFonts w:ascii="Arial" w:hAnsi="Arial" w:hint="cs"/>
          <w:noProof w:val="0"/>
          <w:rtl/>
        </w:rPr>
        <w:t>מעמד הנוכחים.</w:t>
      </w:r>
    </w:p>
    <w:p w:rsidR="00E27EF4" w:rsidRDefault="00E27EF4" w:rsidP="00E27EF4">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noProof w:val="0"/>
          <w:rtl/>
        </w:rPr>
        <w:tab/>
      </w:r>
      <w:sdt>
        <w:sdtPr>
          <w:rPr>
            <w:rFonts w:ascii="Arial" w:hAnsi="Arial" w:hint="cs"/>
            <w:noProof w:val="0"/>
            <w:rtl/>
          </w:rPr>
          <w:alias w:val="2045"/>
          <w:tag w:val="2045"/>
          <w:id w:val="1736736771"/>
          <w:placeholder>
            <w:docPart w:val="5BFF1171A05345E2ABA2D512E1EE553C"/>
          </w:placeholder>
          <w:showingPlcHdr/>
          <w:text w:multiLine="1"/>
        </w:sdtPr>
        <w:sdtEndPr/>
        <w:sdtContent/>
      </w:sdt>
      <w:r>
        <w:rPr>
          <w:rFonts w:ascii="Arial" w:hAnsi="Arial" w:hint="cs"/>
          <w:noProof w:val="0"/>
          <w:rtl/>
        </w:rPr>
        <w:tab/>
      </w:r>
      <w:r>
        <w:rPr>
          <w:rFonts w:ascii="Arial" w:hAnsi="Arial" w:hint="cs"/>
          <w:noProof w:val="0"/>
          <w:rtl/>
        </w:rPr>
        <w:tab/>
      </w:r>
      <w:r>
        <w:rPr>
          <w:rFonts w:ascii="Arial" w:hAnsi="Arial"/>
          <w:noProof w:val="0"/>
          <w:rtl/>
        </w:rPr>
        <w:t xml:space="preserve"> </w:t>
      </w:r>
    </w:p>
    <w:p w:rsidR="00E27EF4" w:rsidRDefault="00AC4200" w:rsidP="00E27EF4">
      <w:pPr>
        <w:spacing w:line="360" w:lineRule="auto"/>
        <w:ind w:left="3600" w:firstLine="720"/>
      </w:pPr>
      <w:sdt>
        <w:sdtPr>
          <w:rPr>
            <w:rtl/>
          </w:rPr>
          <w:alias w:val="MergeField"/>
          <w:tag w:val="1237"/>
          <w:id w:val="-1694065579"/>
        </w:sdtPr>
        <w:sdtEndPr/>
        <w:sdtContent>
          <w:r w:rsidR="00E27EF4">
            <w:drawing>
              <wp:inline distT="0" distB="0" distL="0" distR="0" wp14:anchorId="577734F3" wp14:editId="1337202D">
                <wp:extent cx="1033272" cy="8686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6" cstate="print">
                          <a:extLst/>
                        </a:blip>
                        <a:stretch>
                          <a:fillRect/>
                        </a:stretch>
                      </pic:blipFill>
                      <pic:spPr>
                        <a:xfrm>
                          <a:off x="0" y="0"/>
                          <a:ext cx="1033272" cy="868680"/>
                        </a:xfrm>
                        <a:prstGeom prst="rect">
                          <a:avLst/>
                        </a:prstGeom>
                      </pic:spPr>
                    </pic:pic>
                  </a:graphicData>
                </a:graphic>
              </wp:inline>
            </w:drawing>
          </w:r>
        </w:sdtContent>
      </w:sdt>
    </w:p>
    <w:p w:rsidR="00E27EF4" w:rsidRDefault="00E27EF4" w:rsidP="00E27EF4">
      <w:pPr>
        <w:spacing w:line="360" w:lineRule="auto"/>
        <w:ind w:left="3600" w:firstLine="720"/>
        <w:rPr>
          <w:rFonts w:ascii="Arial" w:hAnsi="Arial"/>
          <w:noProof w:val="0"/>
          <w:rtl/>
        </w:rPr>
      </w:pPr>
    </w:p>
    <w:p w:rsidR="00E27EF4" w:rsidRDefault="00E27EF4" w:rsidP="00E27EF4">
      <w:pPr>
        <w:spacing w:line="360" w:lineRule="auto"/>
        <w:jc w:val="both"/>
        <w:rPr>
          <w:rFonts w:ascii="Arial" w:hAnsi="Arial"/>
          <w:noProof w:val="0"/>
          <w:rtl/>
        </w:rPr>
      </w:pPr>
    </w:p>
    <w:p w:rsidR="00E27EF4" w:rsidRPr="000434B8" w:rsidRDefault="00E27EF4" w:rsidP="00E27EF4">
      <w:pPr>
        <w:spacing w:line="360" w:lineRule="auto"/>
        <w:jc w:val="both"/>
        <w:rPr>
          <w:rFonts w:ascii="Arial" w:hAnsi="Arial"/>
          <w:b/>
          <w:bCs/>
          <w:noProof w:val="0"/>
          <w:sz w:val="22"/>
          <w:szCs w:val="22"/>
        </w:rPr>
      </w:pPr>
      <w:r w:rsidRPr="000434B8">
        <w:rPr>
          <w:rFonts w:ascii="Arial" w:hAnsi="Arial"/>
          <w:b/>
          <w:bCs/>
          <w:noProof w:val="0"/>
          <w:sz w:val="22"/>
          <w:szCs w:val="22"/>
          <w:rtl/>
        </w:rPr>
        <w:t>גרסה מותרת לפרסום לאחר ביטול צו איסור הפרסום.</w:t>
      </w:r>
    </w:p>
    <w:p w:rsidR="00E27EF4" w:rsidRPr="000434B8" w:rsidRDefault="00E27EF4" w:rsidP="00E27EF4">
      <w:pPr>
        <w:spacing w:line="360" w:lineRule="auto"/>
        <w:jc w:val="both"/>
        <w:rPr>
          <w:rFonts w:ascii="Arial" w:hAnsi="Arial"/>
          <w:noProof w:val="0"/>
          <w:rtl/>
        </w:rPr>
      </w:pPr>
    </w:p>
    <w:p w:rsidR="0017588B" w:rsidRDefault="0017588B"/>
    <w:sectPr w:rsidR="0017588B" w:rsidSect="006B5553">
      <w:headerReference w:type="even" r:id="rId7"/>
      <w:headerReference w:type="default" r:id="rId8"/>
      <w:footerReference w:type="even" r:id="rId9"/>
      <w:footerReference w:type="default" r:id="rId10"/>
      <w:headerReference w:type="first" r:id="rId11"/>
      <w:footerReference w:type="first" r:id="rId12"/>
      <w:pgSz w:w="11907" w:h="16840" w:code="9"/>
      <w:pgMar w:top="1440" w:right="1800" w:bottom="1440" w:left="1800" w:header="720" w:footer="737"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AC4200">
      <w:r>
        <w:separator/>
      </w:r>
    </w:p>
  </w:endnote>
  <w:endnote w:type="continuationSeparator" w:id="0">
    <w:p w:rsidR="00000000" w:rsidRDefault="00AC4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E97" w:rsidRDefault="00AC4200">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E27EF4">
    <w:pPr>
      <w:pStyle w:val="a5"/>
      <w:jc w:val="center"/>
      <w:rPr>
        <w:rStyle w:val="a8"/>
      </w:rPr>
    </w:pPr>
    <w:r w:rsidRPr="004E6E3C">
      <w:rPr>
        <w:rStyle w:val="a8"/>
        <w:rFonts w:cs="Times New Roman"/>
      </w:rPr>
      <w:fldChar w:fldCharType="begin"/>
    </w:r>
    <w:r w:rsidRPr="004E6E3C">
      <w:rPr>
        <w:rStyle w:val="a8"/>
        <w:rFonts w:cs="Times New Roman"/>
      </w:rPr>
      <w:instrText xml:space="preserve"> PAGE </w:instrText>
    </w:r>
    <w:r w:rsidRPr="004E6E3C">
      <w:rPr>
        <w:rStyle w:val="a8"/>
        <w:rFonts w:cs="Times New Roman"/>
      </w:rPr>
      <w:fldChar w:fldCharType="separate"/>
    </w:r>
    <w:r w:rsidR="00AC4200">
      <w:rPr>
        <w:rStyle w:val="a8"/>
        <w:rFonts w:cs="Times New Roman"/>
        <w:rtl/>
      </w:rPr>
      <w:t>1</w:t>
    </w:r>
    <w:r w:rsidRPr="004E6E3C">
      <w:rPr>
        <w:rStyle w:val="a8"/>
        <w:rFonts w:cs="Times New Roman"/>
      </w:rPr>
      <w:fldChar w:fldCharType="end"/>
    </w:r>
    <w:r w:rsidRPr="004E6E3C">
      <w:rPr>
        <w:rStyle w:val="a8"/>
        <w:rFonts w:hint="cs"/>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AC4200">
      <w:rPr>
        <w:rStyle w:val="a8"/>
        <w:rtl/>
      </w:rPr>
      <w:t>3</w:t>
    </w:r>
    <w:r w:rsidRPr="004E6E3C">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E97" w:rsidRDefault="00AC42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AC4200">
      <w:r>
        <w:separator/>
      </w:r>
    </w:p>
  </w:footnote>
  <w:footnote w:type="continuationSeparator" w:id="0">
    <w:p w:rsidR="00000000" w:rsidRDefault="00AC4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E97" w:rsidRDefault="00AC420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E27EF4">
    <w:pPr>
      <w:pStyle w:val="a3"/>
      <w:jc w:val="center"/>
      <w:rPr>
        <w:rFonts w:cs="FrankRuehl"/>
        <w:noProof w:val="0"/>
        <w:sz w:val="28"/>
        <w:szCs w:val="28"/>
        <w:rtl/>
      </w:rPr>
    </w:pPr>
    <w:r>
      <w:rPr>
        <w:rFonts w:cs="FrankRuehl"/>
        <w:sz w:val="28"/>
        <w:szCs w:val="28"/>
      </w:rPr>
      <w:drawing>
        <wp:inline distT="0" distB="0" distL="0" distR="0" wp14:anchorId="5693495B" wp14:editId="6B720677">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153"/>
      <w:gridCol w:w="4154"/>
    </w:tblGrid>
    <w:tr w:rsidR="00694556" w:rsidTr="0043732A">
      <w:trPr>
        <w:trHeight w:hRule="exact" w:val="670"/>
        <w:jc w:val="center"/>
      </w:trPr>
      <w:sdt>
        <w:sdtPr>
          <w:rPr>
            <w:sz w:val="32"/>
            <w:szCs w:val="32"/>
            <w:rtl/>
          </w:rPr>
          <w:alias w:val="1174"/>
          <w:tag w:val="1174"/>
          <w:id w:val="-1775709220"/>
          <w:text/>
        </w:sdtPr>
        <w:sdtEndPr/>
        <w:sdtContent>
          <w:tc>
            <w:tcPr>
              <w:tcW w:w="8307" w:type="dxa"/>
              <w:gridSpan w:val="2"/>
            </w:tcPr>
            <w:p w:rsidR="00694556" w:rsidRPr="00CD0055" w:rsidRDefault="00E27EF4">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-יפו</w:t>
              </w:r>
            </w:p>
          </w:tc>
        </w:sdtContent>
      </w:sdt>
    </w:tr>
    <w:tr w:rsidR="00B6145C" w:rsidRPr="00CD0055" w:rsidTr="00A9043E">
      <w:trPr>
        <w:trHeight w:val="461"/>
        <w:jc w:val="center"/>
      </w:trPr>
      <w:tc>
        <w:tcPr>
          <w:tcW w:w="8307" w:type="dxa"/>
          <w:gridSpan w:val="2"/>
        </w:tcPr>
        <w:p w:rsidR="00B6145C" w:rsidRPr="00B6145C" w:rsidRDefault="00AC4200" w:rsidP="000434B8">
          <w:pPr>
            <w:rPr>
              <w:b/>
              <w:bCs/>
              <w:noProof w:val="0"/>
              <w:sz w:val="26"/>
              <w:szCs w:val="26"/>
              <w:rtl/>
            </w:rPr>
          </w:pPr>
          <w:sdt>
            <w:sdtPr>
              <w:rPr>
                <w:b/>
                <w:bCs/>
                <w:noProof w:val="0"/>
                <w:sz w:val="26"/>
                <w:szCs w:val="26"/>
                <w:rtl/>
              </w:rPr>
              <w:alias w:val="1170"/>
              <w:tag w:val="1170"/>
              <w:id w:val="299038016"/>
              <w:text w:multiLine="1"/>
            </w:sdtPr>
            <w:sdtEndPr/>
            <w:sdtContent>
              <w:r w:rsidR="00E27EF4">
                <w:rPr>
                  <w:b/>
                  <w:bCs/>
                  <w:noProof w:val="0"/>
                  <w:sz w:val="26"/>
                  <w:szCs w:val="26"/>
                  <w:rtl/>
                </w:rPr>
                <w:t>עמ"י</w:t>
              </w:r>
            </w:sdtContent>
          </w:sdt>
          <w:r w:rsidR="00E27EF4" w:rsidRPr="00CD0055">
            <w:rPr>
              <w:b/>
              <w:bCs/>
              <w:noProof w:val="0"/>
              <w:sz w:val="26"/>
              <w:szCs w:val="26"/>
              <w:rtl/>
            </w:rPr>
            <w:t xml:space="preserve"> </w:t>
          </w:r>
          <w:sdt>
            <w:sdtPr>
              <w:rPr>
                <w:b/>
                <w:bCs/>
                <w:noProof w:val="0"/>
                <w:sz w:val="26"/>
                <w:szCs w:val="26"/>
                <w:rtl/>
              </w:rPr>
              <w:alias w:val="1171"/>
              <w:tag w:val="1171"/>
              <w:id w:val="81650337"/>
              <w:text w:multiLine="1"/>
            </w:sdtPr>
            <w:sdtEndPr/>
            <w:sdtContent>
              <w:r w:rsidR="00E27EF4">
                <w:rPr>
                  <w:b/>
                  <w:bCs/>
                  <w:noProof w:val="0"/>
                  <w:sz w:val="26"/>
                  <w:szCs w:val="26"/>
                  <w:rtl/>
                </w:rPr>
                <w:t>9633-07-24</w:t>
              </w:r>
            </w:sdtContent>
          </w:sdt>
          <w:r w:rsidR="00E27EF4"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E27EF4">
                <w:rPr>
                  <w:b/>
                  <w:bCs/>
                  <w:noProof w:val="0"/>
                  <w:sz w:val="26"/>
                  <w:szCs w:val="26"/>
                  <w:rtl/>
                </w:rPr>
                <w:t xml:space="preserve">ימ"ר תל אביב נ' </w:t>
              </w:r>
              <w:r w:rsidR="00E27EF4">
                <w:rPr>
                  <w:rFonts w:hint="cs"/>
                  <w:b/>
                  <w:bCs/>
                  <w:noProof w:val="0"/>
                  <w:sz w:val="26"/>
                  <w:szCs w:val="26"/>
                  <w:rtl/>
                </w:rPr>
                <w:t xml:space="preserve">פלוני </w:t>
              </w:r>
              <w:r w:rsidR="00E27EF4">
                <w:rPr>
                  <w:b/>
                  <w:bCs/>
                  <w:noProof w:val="0"/>
                  <w:sz w:val="26"/>
                  <w:szCs w:val="26"/>
                  <w:rtl/>
                </w:rPr>
                <w:t>ואח'</w:t>
              </w:r>
            </w:sdtContent>
          </w:sdt>
          <w:r w:rsidR="00E27EF4">
            <w:rPr>
              <w:rFonts w:hint="cs"/>
              <w:b/>
              <w:bCs/>
              <w:noProof w:val="0"/>
              <w:sz w:val="26"/>
              <w:szCs w:val="26"/>
              <w:rtl/>
            </w:rPr>
            <w:t xml:space="preserve"> </w:t>
          </w:r>
          <w:r w:rsidR="00E27EF4" w:rsidRPr="00CD0055">
            <w:rPr>
              <w:rFonts w:hint="cs"/>
              <w:b/>
              <w:bCs/>
              <w:noProof w:val="0"/>
              <w:sz w:val="26"/>
              <w:szCs w:val="26"/>
              <w:rtl/>
            </w:rPr>
            <w:t xml:space="preserve"> </w:t>
          </w:r>
        </w:p>
      </w:tc>
    </w:tr>
    <w:tr w:rsidR="00B6145C" w:rsidRPr="00CD0055" w:rsidTr="00A9043E">
      <w:trPr>
        <w:trHeight w:val="440"/>
        <w:jc w:val="center"/>
      </w:trPr>
      <w:tc>
        <w:tcPr>
          <w:tcW w:w="4153" w:type="dxa"/>
        </w:tcPr>
        <w:p w:rsidR="00B6145C" w:rsidRDefault="00E27EF4" w:rsidP="00B6145C">
          <w:pPr>
            <w:rPr>
              <w:b/>
              <w:bCs/>
              <w:noProof w:val="0"/>
              <w:sz w:val="26"/>
              <w:szCs w:val="26"/>
              <w:rtl/>
            </w:rPr>
          </w:pPr>
          <w:r>
            <w:rPr>
              <w:rFonts w:hint="cs"/>
              <w:b/>
              <w:bCs/>
              <w:noProof w:val="0"/>
              <w:sz w:val="26"/>
              <w:szCs w:val="26"/>
              <w:rtl/>
            </w:rPr>
            <w:t xml:space="preserve">לפני כבוד השופט עודד מאור                                                   </w:t>
          </w:r>
          <w:r>
            <w:rPr>
              <w:b/>
              <w:bCs/>
              <w:noProof w:val="0"/>
              <w:sz w:val="26"/>
              <w:szCs w:val="26"/>
              <w:rtl/>
            </w:rPr>
            <w:t xml:space="preserve"> </w:t>
          </w:r>
        </w:p>
      </w:tc>
      <w:sdt>
        <w:sdtPr>
          <w:rPr>
            <w:b/>
            <w:bCs/>
            <w:noProof w:val="0"/>
            <w:sz w:val="26"/>
            <w:szCs w:val="26"/>
            <w:rtl/>
          </w:rPr>
          <w:alias w:val="1192"/>
          <w:tag w:val="1192"/>
          <w:id w:val="1290937295"/>
          <w:showingPlcHdr/>
          <w:text w:multiLine="1"/>
        </w:sdtPr>
        <w:sdtEndPr/>
        <w:sdtContent>
          <w:tc>
            <w:tcPr>
              <w:tcW w:w="4154" w:type="dxa"/>
            </w:tcPr>
            <w:p w:rsidR="00B6145C" w:rsidRDefault="00E27EF4" w:rsidP="00A9043E">
              <w:pPr>
                <w:jc w:val="right"/>
                <w:rPr>
                  <w:b/>
                  <w:bCs/>
                  <w:noProof w:val="0"/>
                  <w:sz w:val="26"/>
                  <w:szCs w:val="26"/>
                  <w:rtl/>
                </w:rPr>
              </w:pPr>
              <w:r>
                <w:rPr>
                  <w:b/>
                  <w:bCs/>
                  <w:noProof w:val="0"/>
                  <w:sz w:val="26"/>
                  <w:szCs w:val="26"/>
                  <w:rtl/>
                </w:rPr>
                <w:t>04 יולי 2024</w:t>
              </w:r>
            </w:p>
          </w:tc>
        </w:sdtContent>
      </w:sdt>
    </w:tr>
  </w:tbl>
  <w:p w:rsidR="00694556" w:rsidRPr="00CD0055" w:rsidRDefault="00AC4200">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E97" w:rsidRDefault="00AC420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EF4"/>
    <w:rsid w:val="001543BC"/>
    <w:rsid w:val="0017588B"/>
    <w:rsid w:val="00AC4200"/>
    <w:rsid w:val="00E27EF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205919-163C-47E1-8307-8A75E2A08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7EF4"/>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27EF4"/>
    <w:pPr>
      <w:tabs>
        <w:tab w:val="center" w:pos="4153"/>
        <w:tab w:val="right" w:pos="8306"/>
      </w:tabs>
    </w:pPr>
  </w:style>
  <w:style w:type="character" w:customStyle="1" w:styleId="a4">
    <w:name w:val="כותרת עליונה תו"/>
    <w:basedOn w:val="a0"/>
    <w:link w:val="a3"/>
    <w:rsid w:val="00E27EF4"/>
    <w:rPr>
      <w:rFonts w:ascii="Times New Roman" w:eastAsia="Times New Roman" w:hAnsi="Times New Roman" w:cs="David"/>
      <w:noProof/>
      <w:sz w:val="24"/>
      <w:szCs w:val="24"/>
    </w:rPr>
  </w:style>
  <w:style w:type="paragraph" w:styleId="a5">
    <w:name w:val="footer"/>
    <w:basedOn w:val="a"/>
    <w:link w:val="a6"/>
    <w:rsid w:val="00E27EF4"/>
    <w:pPr>
      <w:tabs>
        <w:tab w:val="center" w:pos="4153"/>
        <w:tab w:val="right" w:pos="8306"/>
      </w:tabs>
    </w:pPr>
  </w:style>
  <w:style w:type="character" w:customStyle="1" w:styleId="a6">
    <w:name w:val="כותרת תחתונה תו"/>
    <w:basedOn w:val="a0"/>
    <w:link w:val="a5"/>
    <w:rsid w:val="00E27EF4"/>
    <w:rPr>
      <w:rFonts w:ascii="Times New Roman" w:eastAsia="Times New Roman" w:hAnsi="Times New Roman" w:cs="David"/>
      <w:noProof/>
      <w:sz w:val="24"/>
      <w:szCs w:val="24"/>
    </w:rPr>
  </w:style>
  <w:style w:type="table" w:styleId="a7">
    <w:name w:val="Table Grid"/>
    <w:basedOn w:val="a1"/>
    <w:rsid w:val="00E27EF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E27EF4"/>
  </w:style>
  <w:style w:type="character" w:styleId="a9">
    <w:name w:val="line number"/>
    <w:basedOn w:val="a0"/>
    <w:uiPriority w:val="99"/>
    <w:semiHidden/>
    <w:unhideWhenUsed/>
    <w:rsid w:val="00E27E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BFF1171A05345E2ABA2D512E1EE553C"/>
        <w:category>
          <w:name w:val="כללי"/>
          <w:gallery w:val="placeholder"/>
        </w:category>
        <w:types>
          <w:type w:val="bbPlcHdr"/>
        </w:types>
        <w:behaviors>
          <w:behavior w:val="content"/>
        </w:behaviors>
        <w:guid w:val="{347489D8-BA5F-4578-8EFC-217171FCB729}"/>
      </w:docPartPr>
      <w:docPartBody>
        <w:p w:rsidR="00D8527E" w:rsidRDefault="008B214A" w:rsidP="008B214A">
          <w:pPr>
            <w:pStyle w:val="5BFF1171A05345E2ABA2D512E1EE553C"/>
          </w:pPr>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14A"/>
    <w:rsid w:val="008B214A"/>
    <w:rsid w:val="00D8527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B214A"/>
    <w:rPr>
      <w:color w:val="808080"/>
    </w:rPr>
  </w:style>
  <w:style w:type="paragraph" w:customStyle="1" w:styleId="5BFF1171A05345E2ABA2D512E1EE553C">
    <w:name w:val="5BFF1171A05345E2ABA2D512E1EE553C"/>
    <w:rsid w:val="008B214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783</Words>
  <Characters>3920</Characters>
  <Application>Microsoft Office Word</Application>
  <DocSecurity>4</DocSecurity>
  <Lines>32</Lines>
  <Paragraphs>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ברק סודרי</dc:creator>
  <cp:keywords/>
  <dc:description/>
  <cp:lastModifiedBy>מוטי גולן</cp:lastModifiedBy>
  <cp:revision>2</cp:revision>
  <dcterms:created xsi:type="dcterms:W3CDTF">2024-07-07T08:05:00Z</dcterms:created>
  <dcterms:modified xsi:type="dcterms:W3CDTF">2024-07-07T08:05:00Z</dcterms:modified>
</cp:coreProperties>
</file>